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C6F83" w14:textId="77777777" w:rsidR="008C02EE" w:rsidRDefault="00661384">
      <w:pPr>
        <w:spacing w:after="0" w:line="240" w:lineRule="auto"/>
        <w:jc w:val="center"/>
        <w:rPr>
          <w:rFonts w:ascii="Times New Roman" w:hAnsi="Times New Roman"/>
          <w:b/>
          <w:sz w:val="24"/>
          <w:szCs w:val="24"/>
        </w:rPr>
      </w:pPr>
      <w:r>
        <w:rPr>
          <w:rFonts w:ascii="Times New Roman" w:hAnsi="Times New Roman"/>
          <w:b/>
          <w:sz w:val="24"/>
          <w:szCs w:val="24"/>
        </w:rPr>
        <w:t>THE COMMISSIONERS OF FIRE DISTRICT NO. 1</w:t>
      </w:r>
    </w:p>
    <w:p w14:paraId="7F0EC822" w14:textId="77777777" w:rsidR="008C02EE" w:rsidRDefault="00661384">
      <w:pPr>
        <w:spacing w:after="0" w:line="240" w:lineRule="auto"/>
        <w:jc w:val="center"/>
        <w:rPr>
          <w:rFonts w:ascii="Times New Roman" w:hAnsi="Times New Roman"/>
          <w:b/>
          <w:sz w:val="24"/>
          <w:szCs w:val="24"/>
        </w:rPr>
      </w:pPr>
      <w:r>
        <w:rPr>
          <w:rFonts w:ascii="Times New Roman" w:hAnsi="Times New Roman"/>
          <w:b/>
          <w:sz w:val="24"/>
          <w:szCs w:val="24"/>
        </w:rPr>
        <w:t>IN THE TOWNSHIP OF DEPTFORD, COUNTY OF GLOUCESTER</w:t>
      </w:r>
    </w:p>
    <w:p w14:paraId="7520AE7E" w14:textId="77777777" w:rsidR="008C02EE" w:rsidRDefault="008C02EE">
      <w:pPr>
        <w:spacing w:after="0" w:line="240" w:lineRule="auto"/>
        <w:jc w:val="center"/>
        <w:rPr>
          <w:rFonts w:ascii="Times New Roman" w:hAnsi="Times New Roman"/>
          <w:b/>
          <w:sz w:val="24"/>
          <w:szCs w:val="24"/>
        </w:rPr>
      </w:pPr>
    </w:p>
    <w:p w14:paraId="01D31894" w14:textId="10210048" w:rsidR="008C02EE" w:rsidRDefault="00661384">
      <w:pPr>
        <w:jc w:val="center"/>
        <w:rPr>
          <w:rFonts w:ascii="Times New Roman" w:hAnsi="Times New Roman"/>
          <w:b/>
          <w:sz w:val="24"/>
          <w:szCs w:val="24"/>
        </w:rPr>
      </w:pPr>
      <w:r>
        <w:rPr>
          <w:rFonts w:ascii="Times New Roman" w:hAnsi="Times New Roman"/>
          <w:b/>
          <w:sz w:val="24"/>
          <w:szCs w:val="24"/>
        </w:rPr>
        <w:t>RESOLUTION # 2020-19</w:t>
      </w:r>
    </w:p>
    <w:p w14:paraId="1A62A289" w14:textId="77777777" w:rsidR="008C02EE" w:rsidRDefault="008C02EE">
      <w:pPr>
        <w:rPr>
          <w:rFonts w:ascii="Times New Roman" w:hAnsi="Times New Roman"/>
          <w:b/>
          <w:sz w:val="24"/>
          <w:szCs w:val="24"/>
        </w:rPr>
      </w:pPr>
    </w:p>
    <w:p w14:paraId="55022129" w14:textId="77777777" w:rsidR="008C02EE" w:rsidRDefault="00661384">
      <w:pPr>
        <w:jc w:val="center"/>
        <w:rPr>
          <w:rFonts w:ascii="Times New Roman" w:hAnsi="Times New Roman"/>
          <w:b/>
          <w:sz w:val="24"/>
          <w:szCs w:val="24"/>
        </w:rPr>
      </w:pPr>
      <w:r>
        <w:rPr>
          <w:rFonts w:ascii="Times New Roman" w:hAnsi="Times New Roman"/>
          <w:b/>
          <w:sz w:val="24"/>
          <w:szCs w:val="24"/>
        </w:rPr>
        <w:t>FOR HOLDING PUBLIC MEETINGS OF FIE COMMISSIONERS VIA TELECONFERENCE DURING COVID-19 CRISIS</w:t>
      </w:r>
    </w:p>
    <w:p w14:paraId="4DBF0600" w14:textId="77777777" w:rsidR="008C02EE" w:rsidRDefault="00661384">
      <w:pPr>
        <w:rPr>
          <w:rFonts w:ascii="Times New Roman" w:hAnsi="Times New Roman"/>
          <w:sz w:val="24"/>
          <w:szCs w:val="24"/>
        </w:rPr>
      </w:pPr>
      <w:r>
        <w:rPr>
          <w:rFonts w:ascii="Times New Roman" w:hAnsi="Times New Roman"/>
          <w:b/>
          <w:i/>
          <w:sz w:val="24"/>
          <w:szCs w:val="24"/>
        </w:rPr>
        <w:t>WHEREAS</w:t>
      </w:r>
      <w:r>
        <w:rPr>
          <w:rFonts w:ascii="Times New Roman" w:hAnsi="Times New Roman"/>
          <w:b/>
          <w:sz w:val="24"/>
          <w:szCs w:val="24"/>
        </w:rPr>
        <w:t xml:space="preserve">, </w:t>
      </w:r>
      <w:r>
        <w:rPr>
          <w:rFonts w:ascii="Times New Roman" w:hAnsi="Times New Roman"/>
          <w:sz w:val="24"/>
          <w:szCs w:val="24"/>
        </w:rPr>
        <w:t xml:space="preserve">the Governor of the State of New </w:t>
      </w:r>
      <w:r>
        <w:rPr>
          <w:rFonts w:ascii="Times New Roman" w:hAnsi="Times New Roman"/>
          <w:sz w:val="24"/>
          <w:szCs w:val="24"/>
        </w:rPr>
        <w:t>Jersey, through Executive Order #103 issued on March 9, 2020, has declared a State of Emergency (the “State of Emergency”) throughout the State as a result of the COVID-19 pandemic;</w:t>
      </w:r>
    </w:p>
    <w:p w14:paraId="3455FB41" w14:textId="77777777" w:rsidR="008C02EE" w:rsidRDefault="00661384">
      <w:pPr>
        <w:rPr>
          <w:rFonts w:ascii="Times New Roman" w:hAnsi="Times New Roman"/>
          <w:sz w:val="24"/>
          <w:szCs w:val="24"/>
          <w:u w:val="single"/>
        </w:rPr>
      </w:pPr>
      <w:r>
        <w:rPr>
          <w:rFonts w:ascii="Times New Roman" w:hAnsi="Times New Roman"/>
          <w:b/>
          <w:i/>
          <w:sz w:val="24"/>
          <w:szCs w:val="24"/>
        </w:rPr>
        <w:t>WHEREAS</w:t>
      </w:r>
      <w:r>
        <w:rPr>
          <w:rFonts w:ascii="Times New Roman" w:hAnsi="Times New Roman"/>
          <w:sz w:val="24"/>
          <w:szCs w:val="24"/>
        </w:rPr>
        <w:t>, on March 20, 2020, the Governor of the State of New Jersey signed</w:t>
      </w:r>
      <w:r>
        <w:rPr>
          <w:rFonts w:ascii="Times New Roman" w:hAnsi="Times New Roman"/>
          <w:sz w:val="24"/>
          <w:szCs w:val="24"/>
        </w:rPr>
        <w:t xml:space="preserve"> into law Bill No. A-3850, which is an amendment to Open Public Meetings Act, N.J.S.A. 10:4-6, </w:t>
      </w:r>
      <w:r>
        <w:rPr>
          <w:rFonts w:ascii="Times New Roman" w:hAnsi="Times New Roman"/>
          <w:sz w:val="24"/>
          <w:szCs w:val="24"/>
          <w:u w:val="single"/>
        </w:rPr>
        <w:t>et seq.;</w:t>
      </w:r>
    </w:p>
    <w:p w14:paraId="6194AA81" w14:textId="77777777" w:rsidR="008C02EE" w:rsidRDefault="00661384">
      <w:pPr>
        <w:rPr>
          <w:rFonts w:ascii="Times New Roman" w:hAnsi="Times New Roman"/>
          <w:sz w:val="24"/>
          <w:szCs w:val="24"/>
        </w:rPr>
      </w:pPr>
      <w:r>
        <w:rPr>
          <w:rFonts w:ascii="Times New Roman" w:hAnsi="Times New Roman"/>
          <w:b/>
          <w:i/>
          <w:sz w:val="24"/>
          <w:szCs w:val="24"/>
        </w:rPr>
        <w:t>WHEREAS</w:t>
      </w:r>
      <w:r>
        <w:rPr>
          <w:rFonts w:ascii="Times New Roman" w:hAnsi="Times New Roman"/>
          <w:sz w:val="24"/>
          <w:szCs w:val="24"/>
        </w:rPr>
        <w:t>, the amendment to the Open Public Meetings Act permits public bodies such as the Deptford Fire District No. 1 to conduct business via electronic</w:t>
      </w:r>
      <w:r>
        <w:rPr>
          <w:rFonts w:ascii="Times New Roman" w:hAnsi="Times New Roman"/>
          <w:sz w:val="24"/>
          <w:szCs w:val="24"/>
        </w:rPr>
        <w:t xml:space="preserve"> means for the purposes permitted by that amendment; </w:t>
      </w:r>
    </w:p>
    <w:p w14:paraId="1F5DF20E" w14:textId="77777777" w:rsidR="008C02EE" w:rsidRDefault="00661384">
      <w:pPr>
        <w:rPr>
          <w:rFonts w:ascii="Times New Roman" w:hAnsi="Times New Roman"/>
          <w:sz w:val="24"/>
          <w:szCs w:val="24"/>
        </w:rPr>
      </w:pPr>
      <w:r>
        <w:rPr>
          <w:rFonts w:ascii="Times New Roman" w:hAnsi="Times New Roman"/>
          <w:b/>
          <w:i/>
          <w:sz w:val="24"/>
          <w:szCs w:val="24"/>
        </w:rPr>
        <w:t>WHEREAS</w:t>
      </w:r>
      <w:r>
        <w:rPr>
          <w:rFonts w:ascii="Times New Roman" w:hAnsi="Times New Roman"/>
          <w:sz w:val="24"/>
          <w:szCs w:val="24"/>
        </w:rPr>
        <w:t>, the amendment to the Open Public Meetings Act also permits public bodies such as the Deptford Fire District No. 1 to forego formal notice as required by the Act, and to permit electronic notice</w:t>
      </w:r>
      <w:r>
        <w:rPr>
          <w:rFonts w:ascii="Times New Roman" w:hAnsi="Times New Roman"/>
          <w:sz w:val="24"/>
          <w:szCs w:val="24"/>
        </w:rPr>
        <w:t>, under certain permitted circumstances;</w:t>
      </w:r>
    </w:p>
    <w:p w14:paraId="721BB8BB" w14:textId="77777777" w:rsidR="008C02EE" w:rsidRDefault="00661384">
      <w:pPr>
        <w:rPr>
          <w:rFonts w:ascii="Times New Roman" w:hAnsi="Times New Roman"/>
          <w:sz w:val="24"/>
          <w:szCs w:val="24"/>
        </w:rPr>
      </w:pPr>
      <w:r>
        <w:rPr>
          <w:rFonts w:ascii="Times New Roman" w:hAnsi="Times New Roman"/>
          <w:b/>
          <w:i/>
          <w:sz w:val="24"/>
          <w:szCs w:val="24"/>
        </w:rPr>
        <w:t>WHEREAS</w:t>
      </w:r>
      <w:r>
        <w:rPr>
          <w:rFonts w:ascii="Times New Roman" w:hAnsi="Times New Roman"/>
          <w:sz w:val="24"/>
          <w:szCs w:val="24"/>
        </w:rPr>
        <w:t>, as a result of the COVID-19 pandemic, and the Governor’s Executive Orders, it is in the best interest of the public health and safety of the residents of Deptford Township that all public meetings of the Bo</w:t>
      </w:r>
      <w:r>
        <w:rPr>
          <w:rFonts w:ascii="Times New Roman" w:hAnsi="Times New Roman"/>
          <w:sz w:val="24"/>
          <w:szCs w:val="24"/>
        </w:rPr>
        <w:t>ard of Fire Commissioners be held via teleconference during the COVID-19 pandemic;</w:t>
      </w:r>
    </w:p>
    <w:p w14:paraId="2C8AE03C" w14:textId="75CB6588" w:rsidR="008C02EE" w:rsidRDefault="00661384">
      <w:pPr>
        <w:rPr>
          <w:rFonts w:ascii="Times New Roman" w:hAnsi="Times New Roman"/>
          <w:sz w:val="24"/>
          <w:szCs w:val="24"/>
        </w:rPr>
      </w:pPr>
      <w:r>
        <w:rPr>
          <w:rFonts w:ascii="Times New Roman" w:hAnsi="Times New Roman"/>
          <w:b/>
          <w:i/>
          <w:sz w:val="24"/>
          <w:szCs w:val="24"/>
        </w:rPr>
        <w:t>NOW, THEREFORE, BE IT RESOLVED</w:t>
      </w:r>
      <w:r>
        <w:rPr>
          <w:rFonts w:ascii="Times New Roman" w:hAnsi="Times New Roman"/>
          <w:sz w:val="24"/>
          <w:szCs w:val="24"/>
        </w:rPr>
        <w:t xml:space="preserve"> this 8</w:t>
      </w:r>
      <w:bookmarkStart w:id="0" w:name="_GoBack"/>
      <w:bookmarkEnd w:id="0"/>
      <w:r>
        <w:rPr>
          <w:rFonts w:ascii="Times New Roman" w:hAnsi="Times New Roman"/>
          <w:sz w:val="24"/>
          <w:szCs w:val="24"/>
          <w:vertAlign w:val="superscript"/>
        </w:rPr>
        <w:t>th</w:t>
      </w:r>
      <w:r>
        <w:rPr>
          <w:rFonts w:ascii="Times New Roman" w:hAnsi="Times New Roman"/>
          <w:sz w:val="24"/>
          <w:szCs w:val="24"/>
        </w:rPr>
        <w:t xml:space="preserve"> day of April 2020 as follows:</w:t>
      </w:r>
    </w:p>
    <w:p w14:paraId="66C932D7" w14:textId="77777777" w:rsidR="008C02EE" w:rsidRDefault="00661384">
      <w:pPr>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The public meetings (including public work sessions) of Deptford Board of Fire Commissioners, whethe</w:t>
      </w:r>
      <w:r>
        <w:rPr>
          <w:rFonts w:ascii="Times New Roman" w:hAnsi="Times New Roman"/>
          <w:sz w:val="24"/>
          <w:szCs w:val="24"/>
        </w:rPr>
        <w:t>r regularly-scheduled or on an emergency basis, will take place by teleconference effective immediately and until the State of Emergency is over, or until such time as the Board of Fire Commissioners deems it is safe for such public meetings to again be he</w:t>
      </w:r>
      <w:r>
        <w:rPr>
          <w:rFonts w:ascii="Times New Roman" w:hAnsi="Times New Roman"/>
          <w:sz w:val="24"/>
          <w:szCs w:val="24"/>
        </w:rPr>
        <w:t>ld in person.</w:t>
      </w:r>
    </w:p>
    <w:p w14:paraId="4FB0422A" w14:textId="77777777" w:rsidR="008C02EE" w:rsidRDefault="00661384">
      <w:pPr>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The aforementioned public meetings by teleconference will be for the purposes of: (1) conducting meetings and any public business related thereto; (2) causing a meeting to be open to the public; (3) voting by the Board of Fire Commissioner</w:t>
      </w:r>
      <w:r>
        <w:rPr>
          <w:rFonts w:ascii="Times New Roman" w:hAnsi="Times New Roman"/>
          <w:sz w:val="24"/>
          <w:szCs w:val="24"/>
        </w:rPr>
        <w:t xml:space="preserve">s; and (4) receiving public comment. </w:t>
      </w:r>
    </w:p>
    <w:p w14:paraId="37E719DA" w14:textId="77777777" w:rsidR="008C02EE" w:rsidRDefault="00661384">
      <w:pPr>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The public meetings by teleconference will be open to all members of the general public using the teleconference and/or other telecommunications instructions to be posted by the Board </w:t>
      </w:r>
      <w:r>
        <w:rPr>
          <w:rFonts w:ascii="Times New Roman" w:hAnsi="Times New Roman"/>
          <w:sz w:val="24"/>
          <w:szCs w:val="24"/>
        </w:rPr>
        <w:lastRenderedPageBreak/>
        <w:t>of Fire Commissioners in advanc</w:t>
      </w:r>
      <w:r>
        <w:rPr>
          <w:rFonts w:ascii="Times New Roman" w:hAnsi="Times New Roman"/>
          <w:sz w:val="24"/>
          <w:szCs w:val="24"/>
        </w:rPr>
        <w:t>e of each meeting, at the Deptford Fire Administration Building and at the website of the Board of Fire Commissioners.</w:t>
      </w:r>
    </w:p>
    <w:p w14:paraId="37D79CCF" w14:textId="77777777" w:rsidR="008C02EE" w:rsidRDefault="00661384">
      <w:pPr>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The Board of Fire Commissioners also authorizes Michael White, or his designee, to provide only electronic notice of public meetings, </w:t>
      </w:r>
      <w:r>
        <w:rPr>
          <w:rFonts w:ascii="Times New Roman" w:hAnsi="Times New Roman"/>
          <w:sz w:val="24"/>
          <w:szCs w:val="24"/>
        </w:rPr>
        <w:t>during such emergency if required under the circumstances to protect the public health and safety, provided that such public meetings where electronic notice only is provided that be limited, to the extent practicable, to matters necessary for the continui</w:t>
      </w:r>
      <w:r>
        <w:rPr>
          <w:rFonts w:ascii="Times New Roman" w:hAnsi="Times New Roman"/>
          <w:sz w:val="24"/>
          <w:szCs w:val="24"/>
        </w:rPr>
        <w:t>ng operation of the Fire District and which relate to the State of Emergency.</w:t>
      </w:r>
    </w:p>
    <w:p w14:paraId="65A77828" w14:textId="77777777" w:rsidR="008C02EE" w:rsidRDefault="00661384">
      <w:pPr>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The Board of Fire Commissioners Michael White or his designee to complete the necessary electronic postings for this Resolution and for the aforementioned public meetings.</w:t>
      </w:r>
    </w:p>
    <w:p w14:paraId="64B970E5" w14:textId="77777777" w:rsidR="008C02EE" w:rsidRDefault="00661384">
      <w:pPr>
        <w:rPr>
          <w:rFonts w:ascii="Times New Roman" w:hAnsi="Times New Roman"/>
          <w:sz w:val="24"/>
          <w:szCs w:val="24"/>
        </w:rPr>
      </w:pPr>
      <w:r>
        <w:rPr>
          <w:rFonts w:ascii="Times New Roman" w:hAnsi="Times New Roman"/>
          <w:sz w:val="24"/>
          <w:szCs w:val="24"/>
        </w:rPr>
        <w:t>.</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1"/>
        <w:gridCol w:w="1063"/>
        <w:gridCol w:w="1114"/>
        <w:gridCol w:w="1262"/>
        <w:gridCol w:w="1340"/>
      </w:tblGrid>
      <w:tr w:rsidR="008C02EE" w14:paraId="2028729B" w14:textId="77777777">
        <w:tc>
          <w:tcPr>
            <w:tcW w:w="4571" w:type="dxa"/>
          </w:tcPr>
          <w:p w14:paraId="392CDD47" w14:textId="77777777" w:rsidR="008C02EE" w:rsidRDefault="008C02EE">
            <w:pPr>
              <w:rPr>
                <w:rFonts w:ascii="Times New Roman" w:hAnsi="Times New Roman"/>
                <w:sz w:val="24"/>
                <w:szCs w:val="24"/>
              </w:rPr>
            </w:pPr>
          </w:p>
        </w:tc>
        <w:tc>
          <w:tcPr>
            <w:tcW w:w="1063" w:type="dxa"/>
            <w:vMerge w:val="restart"/>
            <w:shd w:val="clear" w:color="auto" w:fill="auto"/>
          </w:tcPr>
          <w:p w14:paraId="0931CFB4" w14:textId="77777777" w:rsidR="008C02EE" w:rsidRDefault="008C02EE">
            <w:pPr>
              <w:jc w:val="center"/>
              <w:rPr>
                <w:rFonts w:ascii="Times New Roman" w:hAnsi="Times New Roman"/>
                <w:sz w:val="24"/>
                <w:szCs w:val="24"/>
              </w:rPr>
            </w:pPr>
          </w:p>
        </w:tc>
        <w:tc>
          <w:tcPr>
            <w:tcW w:w="1114" w:type="dxa"/>
          </w:tcPr>
          <w:p w14:paraId="56F9D6E0" w14:textId="77777777" w:rsidR="008C02EE" w:rsidRDefault="00661384">
            <w:pPr>
              <w:jc w:val="center"/>
              <w:rPr>
                <w:rFonts w:ascii="Times New Roman" w:hAnsi="Times New Roman"/>
                <w:sz w:val="24"/>
                <w:szCs w:val="24"/>
              </w:rPr>
            </w:pPr>
            <w:r>
              <w:rPr>
                <w:rFonts w:ascii="Times New Roman" w:hAnsi="Times New Roman"/>
                <w:sz w:val="24"/>
                <w:szCs w:val="24"/>
              </w:rPr>
              <w:t>YES</w:t>
            </w:r>
          </w:p>
        </w:tc>
        <w:tc>
          <w:tcPr>
            <w:tcW w:w="1262" w:type="dxa"/>
          </w:tcPr>
          <w:p w14:paraId="49B528D7" w14:textId="77777777" w:rsidR="008C02EE" w:rsidRDefault="00661384">
            <w:pPr>
              <w:jc w:val="center"/>
              <w:rPr>
                <w:rFonts w:ascii="Times New Roman" w:hAnsi="Times New Roman"/>
                <w:sz w:val="24"/>
                <w:szCs w:val="24"/>
              </w:rPr>
            </w:pPr>
            <w:r>
              <w:rPr>
                <w:rFonts w:ascii="Times New Roman" w:hAnsi="Times New Roman"/>
                <w:sz w:val="24"/>
                <w:szCs w:val="24"/>
              </w:rPr>
              <w:t>NO</w:t>
            </w:r>
          </w:p>
        </w:tc>
        <w:tc>
          <w:tcPr>
            <w:tcW w:w="1340" w:type="dxa"/>
          </w:tcPr>
          <w:p w14:paraId="45EC954D" w14:textId="77777777" w:rsidR="008C02EE" w:rsidRDefault="00661384">
            <w:pPr>
              <w:jc w:val="center"/>
              <w:rPr>
                <w:rFonts w:ascii="Times New Roman" w:hAnsi="Times New Roman"/>
                <w:sz w:val="24"/>
                <w:szCs w:val="24"/>
              </w:rPr>
            </w:pPr>
            <w:r>
              <w:rPr>
                <w:rFonts w:ascii="Times New Roman" w:hAnsi="Times New Roman"/>
                <w:sz w:val="24"/>
                <w:szCs w:val="24"/>
              </w:rPr>
              <w:t>ABSTAIN</w:t>
            </w:r>
          </w:p>
        </w:tc>
      </w:tr>
      <w:tr w:rsidR="008C02EE" w14:paraId="79AA6E5B" w14:textId="77777777">
        <w:tc>
          <w:tcPr>
            <w:tcW w:w="4571" w:type="dxa"/>
          </w:tcPr>
          <w:p w14:paraId="4AC170A9" w14:textId="77777777" w:rsidR="008C02EE" w:rsidRDefault="00661384">
            <w:pPr>
              <w:pBdr>
                <w:bottom w:val="single" w:sz="12" w:space="1" w:color="auto"/>
              </w:pBdr>
              <w:spacing w:after="0"/>
              <w:rPr>
                <w:rFonts w:ascii="Times New Roman" w:hAnsi="Times New Roman"/>
                <w:sz w:val="24"/>
                <w:szCs w:val="24"/>
              </w:rPr>
            </w:pPr>
            <w:r>
              <w:rPr>
                <w:rFonts w:ascii="Times New Roman" w:hAnsi="Times New Roman"/>
                <w:sz w:val="24"/>
                <w:szCs w:val="24"/>
              </w:rPr>
              <w:t xml:space="preserve"> </w:t>
            </w:r>
          </w:p>
          <w:p w14:paraId="7A0BE0C1" w14:textId="77777777" w:rsidR="008C02EE" w:rsidRDefault="00661384">
            <w:pPr>
              <w:spacing w:after="0"/>
              <w:rPr>
                <w:rFonts w:ascii="Times New Roman" w:hAnsi="Times New Roman"/>
                <w:sz w:val="24"/>
                <w:szCs w:val="24"/>
              </w:rPr>
            </w:pPr>
            <w:r>
              <w:rPr>
                <w:rFonts w:ascii="Times New Roman" w:hAnsi="Times New Roman"/>
                <w:sz w:val="24"/>
                <w:szCs w:val="24"/>
              </w:rPr>
              <w:t>MICHAEL WHITE, CHAIRMAN</w:t>
            </w:r>
          </w:p>
        </w:tc>
        <w:tc>
          <w:tcPr>
            <w:tcW w:w="1063" w:type="dxa"/>
            <w:vMerge/>
            <w:shd w:val="clear" w:color="auto" w:fill="auto"/>
          </w:tcPr>
          <w:p w14:paraId="34BA3264" w14:textId="77777777" w:rsidR="008C02EE" w:rsidRDefault="008C02EE">
            <w:pPr>
              <w:pBdr>
                <w:bottom w:val="single" w:sz="12" w:space="1" w:color="auto"/>
              </w:pBdr>
              <w:spacing w:after="0"/>
              <w:rPr>
                <w:rFonts w:ascii="Times New Roman" w:hAnsi="Times New Roman"/>
                <w:sz w:val="24"/>
                <w:szCs w:val="24"/>
              </w:rPr>
            </w:pPr>
          </w:p>
        </w:tc>
        <w:tc>
          <w:tcPr>
            <w:tcW w:w="1114" w:type="dxa"/>
          </w:tcPr>
          <w:p w14:paraId="662BFDEB" w14:textId="77777777" w:rsidR="008C02EE" w:rsidRDefault="008C02EE">
            <w:pPr>
              <w:pBdr>
                <w:bottom w:val="single" w:sz="12" w:space="1" w:color="auto"/>
              </w:pBdr>
              <w:spacing w:after="0"/>
              <w:rPr>
                <w:rFonts w:ascii="Times New Roman" w:hAnsi="Times New Roman"/>
                <w:sz w:val="24"/>
                <w:szCs w:val="24"/>
              </w:rPr>
            </w:pPr>
          </w:p>
        </w:tc>
        <w:tc>
          <w:tcPr>
            <w:tcW w:w="1262" w:type="dxa"/>
          </w:tcPr>
          <w:p w14:paraId="40B9072C" w14:textId="77777777" w:rsidR="008C02EE" w:rsidRDefault="008C02EE">
            <w:pPr>
              <w:pBdr>
                <w:bottom w:val="single" w:sz="12" w:space="1" w:color="auto"/>
              </w:pBdr>
              <w:spacing w:after="0"/>
              <w:rPr>
                <w:rFonts w:ascii="Times New Roman" w:hAnsi="Times New Roman"/>
                <w:sz w:val="24"/>
                <w:szCs w:val="24"/>
              </w:rPr>
            </w:pPr>
          </w:p>
        </w:tc>
        <w:tc>
          <w:tcPr>
            <w:tcW w:w="1340" w:type="dxa"/>
          </w:tcPr>
          <w:p w14:paraId="155504EB" w14:textId="77777777" w:rsidR="008C02EE" w:rsidRDefault="008C02EE">
            <w:pPr>
              <w:pBdr>
                <w:bottom w:val="single" w:sz="12" w:space="1" w:color="auto"/>
              </w:pBdr>
              <w:spacing w:after="0"/>
              <w:rPr>
                <w:rFonts w:ascii="Times New Roman" w:hAnsi="Times New Roman"/>
                <w:sz w:val="24"/>
                <w:szCs w:val="24"/>
              </w:rPr>
            </w:pPr>
          </w:p>
        </w:tc>
      </w:tr>
      <w:tr w:rsidR="008C02EE" w14:paraId="381D60DD" w14:textId="77777777">
        <w:tc>
          <w:tcPr>
            <w:tcW w:w="4571" w:type="dxa"/>
          </w:tcPr>
          <w:p w14:paraId="1A5881BC" w14:textId="77777777" w:rsidR="008C02EE" w:rsidRDefault="008C02EE">
            <w:pPr>
              <w:pBdr>
                <w:bottom w:val="single" w:sz="12" w:space="1" w:color="auto"/>
              </w:pBdr>
              <w:spacing w:after="0"/>
              <w:rPr>
                <w:rFonts w:ascii="Times New Roman" w:hAnsi="Times New Roman"/>
                <w:sz w:val="24"/>
                <w:szCs w:val="24"/>
              </w:rPr>
            </w:pPr>
          </w:p>
          <w:p w14:paraId="5075D9B2" w14:textId="77777777" w:rsidR="008C02EE" w:rsidRDefault="008C02EE">
            <w:pPr>
              <w:pBdr>
                <w:bottom w:val="single" w:sz="12" w:space="1" w:color="auto"/>
              </w:pBdr>
              <w:spacing w:after="0"/>
              <w:rPr>
                <w:rFonts w:ascii="Times New Roman" w:hAnsi="Times New Roman"/>
                <w:sz w:val="24"/>
                <w:szCs w:val="24"/>
              </w:rPr>
            </w:pPr>
          </w:p>
          <w:p w14:paraId="542D57AE" w14:textId="77777777" w:rsidR="008C02EE" w:rsidRDefault="00661384">
            <w:pPr>
              <w:spacing w:after="0"/>
              <w:rPr>
                <w:rFonts w:ascii="Times New Roman" w:hAnsi="Times New Roman"/>
                <w:sz w:val="24"/>
                <w:szCs w:val="24"/>
              </w:rPr>
            </w:pPr>
            <w:r>
              <w:rPr>
                <w:rFonts w:ascii="Times New Roman" w:hAnsi="Times New Roman"/>
                <w:sz w:val="24"/>
                <w:szCs w:val="24"/>
              </w:rPr>
              <w:t>RAYMOND MACKAY JR., TREASURER</w:t>
            </w:r>
          </w:p>
        </w:tc>
        <w:tc>
          <w:tcPr>
            <w:tcW w:w="1063" w:type="dxa"/>
            <w:vMerge/>
            <w:shd w:val="clear" w:color="auto" w:fill="auto"/>
          </w:tcPr>
          <w:p w14:paraId="6A899C21" w14:textId="77777777" w:rsidR="008C02EE" w:rsidRDefault="008C02EE">
            <w:pPr>
              <w:pBdr>
                <w:bottom w:val="single" w:sz="12" w:space="1" w:color="auto"/>
              </w:pBdr>
              <w:spacing w:after="0"/>
              <w:rPr>
                <w:rFonts w:ascii="Times New Roman" w:hAnsi="Times New Roman"/>
                <w:sz w:val="24"/>
                <w:szCs w:val="24"/>
              </w:rPr>
            </w:pPr>
          </w:p>
        </w:tc>
        <w:tc>
          <w:tcPr>
            <w:tcW w:w="1114" w:type="dxa"/>
          </w:tcPr>
          <w:p w14:paraId="3C3789BC" w14:textId="77777777" w:rsidR="008C02EE" w:rsidRDefault="008C02EE">
            <w:pPr>
              <w:pBdr>
                <w:bottom w:val="single" w:sz="12" w:space="1" w:color="auto"/>
              </w:pBdr>
              <w:spacing w:after="0"/>
              <w:rPr>
                <w:rFonts w:ascii="Times New Roman" w:hAnsi="Times New Roman"/>
                <w:sz w:val="24"/>
                <w:szCs w:val="24"/>
              </w:rPr>
            </w:pPr>
          </w:p>
          <w:p w14:paraId="39ABD2C7" w14:textId="77777777" w:rsidR="008C02EE" w:rsidRDefault="008C02EE">
            <w:pPr>
              <w:pBdr>
                <w:bottom w:val="single" w:sz="12" w:space="1" w:color="auto"/>
              </w:pBdr>
              <w:spacing w:after="0"/>
              <w:rPr>
                <w:rFonts w:ascii="Times New Roman" w:hAnsi="Times New Roman"/>
                <w:sz w:val="24"/>
                <w:szCs w:val="24"/>
              </w:rPr>
            </w:pPr>
          </w:p>
        </w:tc>
        <w:tc>
          <w:tcPr>
            <w:tcW w:w="1262" w:type="dxa"/>
          </w:tcPr>
          <w:p w14:paraId="0FC20233" w14:textId="77777777" w:rsidR="008C02EE" w:rsidRDefault="008C02EE">
            <w:pPr>
              <w:pBdr>
                <w:bottom w:val="single" w:sz="12" w:space="1" w:color="auto"/>
              </w:pBdr>
              <w:spacing w:after="0"/>
              <w:rPr>
                <w:rFonts w:ascii="Times New Roman" w:hAnsi="Times New Roman"/>
                <w:sz w:val="24"/>
                <w:szCs w:val="24"/>
              </w:rPr>
            </w:pPr>
          </w:p>
          <w:p w14:paraId="20DB1334" w14:textId="77777777" w:rsidR="008C02EE" w:rsidRDefault="008C02EE">
            <w:pPr>
              <w:pBdr>
                <w:bottom w:val="single" w:sz="12" w:space="1" w:color="auto"/>
              </w:pBdr>
              <w:spacing w:after="0"/>
              <w:rPr>
                <w:rFonts w:ascii="Times New Roman" w:hAnsi="Times New Roman"/>
                <w:sz w:val="24"/>
                <w:szCs w:val="24"/>
              </w:rPr>
            </w:pPr>
          </w:p>
        </w:tc>
        <w:tc>
          <w:tcPr>
            <w:tcW w:w="1340" w:type="dxa"/>
          </w:tcPr>
          <w:p w14:paraId="0F7C7FF8" w14:textId="77777777" w:rsidR="008C02EE" w:rsidRDefault="008C02EE">
            <w:pPr>
              <w:pBdr>
                <w:bottom w:val="single" w:sz="12" w:space="1" w:color="auto"/>
              </w:pBdr>
              <w:spacing w:after="0"/>
              <w:rPr>
                <w:rFonts w:ascii="Times New Roman" w:hAnsi="Times New Roman"/>
                <w:sz w:val="24"/>
                <w:szCs w:val="24"/>
              </w:rPr>
            </w:pPr>
          </w:p>
          <w:p w14:paraId="36460AE9" w14:textId="77777777" w:rsidR="008C02EE" w:rsidRDefault="008C02EE">
            <w:pPr>
              <w:pBdr>
                <w:bottom w:val="single" w:sz="12" w:space="1" w:color="auto"/>
              </w:pBdr>
              <w:spacing w:after="0"/>
              <w:rPr>
                <w:rFonts w:ascii="Times New Roman" w:hAnsi="Times New Roman"/>
                <w:sz w:val="24"/>
                <w:szCs w:val="24"/>
              </w:rPr>
            </w:pPr>
          </w:p>
        </w:tc>
      </w:tr>
      <w:tr w:rsidR="008C02EE" w14:paraId="5F5D3BEF" w14:textId="77777777">
        <w:tc>
          <w:tcPr>
            <w:tcW w:w="4571" w:type="dxa"/>
          </w:tcPr>
          <w:p w14:paraId="5A19DE6B" w14:textId="77777777" w:rsidR="008C02EE" w:rsidRDefault="008C02EE">
            <w:pPr>
              <w:pBdr>
                <w:bottom w:val="single" w:sz="12" w:space="1" w:color="auto"/>
              </w:pBdr>
              <w:spacing w:after="0"/>
              <w:rPr>
                <w:rFonts w:ascii="Times New Roman" w:hAnsi="Times New Roman"/>
                <w:sz w:val="24"/>
                <w:szCs w:val="24"/>
              </w:rPr>
            </w:pPr>
          </w:p>
          <w:p w14:paraId="2D768A6F" w14:textId="77777777" w:rsidR="008C02EE" w:rsidRDefault="008C02EE">
            <w:pPr>
              <w:pBdr>
                <w:bottom w:val="single" w:sz="12" w:space="1" w:color="auto"/>
              </w:pBdr>
              <w:spacing w:after="0"/>
              <w:rPr>
                <w:rFonts w:ascii="Times New Roman" w:hAnsi="Times New Roman"/>
                <w:sz w:val="24"/>
                <w:szCs w:val="24"/>
              </w:rPr>
            </w:pPr>
          </w:p>
          <w:p w14:paraId="37A99CD1" w14:textId="77777777" w:rsidR="008C02EE" w:rsidRDefault="00661384">
            <w:pPr>
              <w:spacing w:after="0"/>
              <w:rPr>
                <w:rFonts w:ascii="Times New Roman" w:hAnsi="Times New Roman"/>
                <w:sz w:val="24"/>
                <w:szCs w:val="24"/>
              </w:rPr>
            </w:pPr>
            <w:r>
              <w:rPr>
                <w:rFonts w:ascii="Times New Roman" w:hAnsi="Times New Roman"/>
                <w:sz w:val="24"/>
                <w:szCs w:val="24"/>
              </w:rPr>
              <w:t>JOSEPH NILSEN, SECRETARY</w:t>
            </w:r>
          </w:p>
        </w:tc>
        <w:tc>
          <w:tcPr>
            <w:tcW w:w="1063" w:type="dxa"/>
            <w:vMerge/>
            <w:shd w:val="clear" w:color="auto" w:fill="auto"/>
          </w:tcPr>
          <w:p w14:paraId="00F1C543" w14:textId="77777777" w:rsidR="008C02EE" w:rsidRDefault="008C02EE">
            <w:pPr>
              <w:pBdr>
                <w:bottom w:val="single" w:sz="12" w:space="1" w:color="auto"/>
              </w:pBdr>
              <w:spacing w:after="0"/>
              <w:rPr>
                <w:rFonts w:ascii="Times New Roman" w:hAnsi="Times New Roman"/>
                <w:sz w:val="24"/>
                <w:szCs w:val="24"/>
              </w:rPr>
            </w:pPr>
          </w:p>
        </w:tc>
        <w:tc>
          <w:tcPr>
            <w:tcW w:w="1114" w:type="dxa"/>
          </w:tcPr>
          <w:p w14:paraId="56294BD1" w14:textId="77777777" w:rsidR="008C02EE" w:rsidRDefault="008C02EE">
            <w:pPr>
              <w:pBdr>
                <w:bottom w:val="single" w:sz="12" w:space="1" w:color="auto"/>
              </w:pBdr>
              <w:spacing w:after="0"/>
              <w:rPr>
                <w:rFonts w:ascii="Times New Roman" w:hAnsi="Times New Roman"/>
                <w:sz w:val="24"/>
                <w:szCs w:val="24"/>
              </w:rPr>
            </w:pPr>
          </w:p>
          <w:p w14:paraId="094E7EC7" w14:textId="77777777" w:rsidR="008C02EE" w:rsidRDefault="008C02EE">
            <w:pPr>
              <w:pBdr>
                <w:bottom w:val="single" w:sz="12" w:space="1" w:color="auto"/>
              </w:pBdr>
              <w:spacing w:after="0"/>
              <w:rPr>
                <w:rFonts w:ascii="Times New Roman" w:hAnsi="Times New Roman"/>
                <w:sz w:val="24"/>
                <w:szCs w:val="24"/>
              </w:rPr>
            </w:pPr>
          </w:p>
        </w:tc>
        <w:tc>
          <w:tcPr>
            <w:tcW w:w="1262" w:type="dxa"/>
          </w:tcPr>
          <w:p w14:paraId="23623BD0" w14:textId="77777777" w:rsidR="008C02EE" w:rsidRDefault="008C02EE">
            <w:pPr>
              <w:pBdr>
                <w:bottom w:val="single" w:sz="12" w:space="1" w:color="auto"/>
              </w:pBdr>
              <w:spacing w:after="0"/>
              <w:rPr>
                <w:rFonts w:ascii="Times New Roman" w:hAnsi="Times New Roman"/>
                <w:sz w:val="24"/>
                <w:szCs w:val="24"/>
              </w:rPr>
            </w:pPr>
          </w:p>
          <w:p w14:paraId="0A9D51CA" w14:textId="77777777" w:rsidR="008C02EE" w:rsidRDefault="008C02EE">
            <w:pPr>
              <w:pBdr>
                <w:bottom w:val="single" w:sz="12" w:space="1" w:color="auto"/>
              </w:pBdr>
              <w:spacing w:after="0"/>
              <w:rPr>
                <w:rFonts w:ascii="Times New Roman" w:hAnsi="Times New Roman"/>
                <w:sz w:val="24"/>
                <w:szCs w:val="24"/>
              </w:rPr>
            </w:pPr>
          </w:p>
        </w:tc>
        <w:tc>
          <w:tcPr>
            <w:tcW w:w="1340" w:type="dxa"/>
          </w:tcPr>
          <w:p w14:paraId="505760D6" w14:textId="77777777" w:rsidR="008C02EE" w:rsidRDefault="008C02EE">
            <w:pPr>
              <w:pBdr>
                <w:bottom w:val="single" w:sz="12" w:space="1" w:color="auto"/>
              </w:pBdr>
              <w:spacing w:after="0"/>
              <w:rPr>
                <w:rFonts w:ascii="Times New Roman" w:hAnsi="Times New Roman"/>
                <w:sz w:val="24"/>
                <w:szCs w:val="24"/>
              </w:rPr>
            </w:pPr>
          </w:p>
          <w:p w14:paraId="432AE342" w14:textId="77777777" w:rsidR="008C02EE" w:rsidRDefault="008C02EE">
            <w:pPr>
              <w:pBdr>
                <w:bottom w:val="single" w:sz="12" w:space="1" w:color="auto"/>
              </w:pBdr>
              <w:spacing w:after="0"/>
              <w:rPr>
                <w:rFonts w:ascii="Times New Roman" w:hAnsi="Times New Roman"/>
                <w:sz w:val="24"/>
                <w:szCs w:val="24"/>
              </w:rPr>
            </w:pPr>
          </w:p>
        </w:tc>
      </w:tr>
      <w:tr w:rsidR="008C02EE" w14:paraId="26CD59FE" w14:textId="77777777">
        <w:tc>
          <w:tcPr>
            <w:tcW w:w="4571" w:type="dxa"/>
          </w:tcPr>
          <w:p w14:paraId="16D11B51" w14:textId="77777777" w:rsidR="008C02EE" w:rsidRDefault="008C02EE">
            <w:pPr>
              <w:pBdr>
                <w:bottom w:val="single" w:sz="12" w:space="1" w:color="auto"/>
              </w:pBdr>
              <w:spacing w:after="0"/>
              <w:rPr>
                <w:rFonts w:ascii="Times New Roman" w:hAnsi="Times New Roman"/>
                <w:sz w:val="24"/>
                <w:szCs w:val="24"/>
              </w:rPr>
            </w:pPr>
          </w:p>
          <w:p w14:paraId="6F119D95" w14:textId="77777777" w:rsidR="008C02EE" w:rsidRDefault="008C02EE">
            <w:pPr>
              <w:pBdr>
                <w:bottom w:val="single" w:sz="12" w:space="1" w:color="auto"/>
              </w:pBdr>
              <w:spacing w:after="0"/>
              <w:rPr>
                <w:rFonts w:ascii="Times New Roman" w:hAnsi="Times New Roman"/>
                <w:sz w:val="24"/>
                <w:szCs w:val="24"/>
              </w:rPr>
            </w:pPr>
          </w:p>
          <w:p w14:paraId="11D74EF3" w14:textId="77777777" w:rsidR="008C02EE" w:rsidRDefault="00661384">
            <w:pPr>
              <w:spacing w:after="0"/>
              <w:rPr>
                <w:rFonts w:ascii="Times New Roman" w:hAnsi="Times New Roman"/>
                <w:sz w:val="24"/>
                <w:szCs w:val="24"/>
              </w:rPr>
            </w:pPr>
            <w:r>
              <w:rPr>
                <w:rFonts w:ascii="Times New Roman" w:hAnsi="Times New Roman"/>
                <w:sz w:val="24"/>
                <w:szCs w:val="24"/>
              </w:rPr>
              <w:t>GEORGE FRANK, COMMISSIONER</w:t>
            </w:r>
          </w:p>
        </w:tc>
        <w:tc>
          <w:tcPr>
            <w:tcW w:w="1063" w:type="dxa"/>
            <w:vMerge/>
            <w:shd w:val="clear" w:color="auto" w:fill="auto"/>
          </w:tcPr>
          <w:p w14:paraId="0BFC7076" w14:textId="77777777" w:rsidR="008C02EE" w:rsidRDefault="008C02EE">
            <w:pPr>
              <w:pBdr>
                <w:bottom w:val="single" w:sz="12" w:space="1" w:color="auto"/>
              </w:pBdr>
              <w:spacing w:after="0"/>
              <w:rPr>
                <w:rFonts w:ascii="Times New Roman" w:hAnsi="Times New Roman"/>
                <w:sz w:val="24"/>
                <w:szCs w:val="24"/>
              </w:rPr>
            </w:pPr>
          </w:p>
        </w:tc>
        <w:tc>
          <w:tcPr>
            <w:tcW w:w="1114" w:type="dxa"/>
          </w:tcPr>
          <w:p w14:paraId="6E730A79" w14:textId="77777777" w:rsidR="008C02EE" w:rsidRDefault="008C02EE">
            <w:pPr>
              <w:pBdr>
                <w:bottom w:val="single" w:sz="12" w:space="1" w:color="auto"/>
              </w:pBdr>
              <w:spacing w:after="0"/>
              <w:rPr>
                <w:rFonts w:ascii="Times New Roman" w:hAnsi="Times New Roman"/>
                <w:sz w:val="24"/>
                <w:szCs w:val="24"/>
              </w:rPr>
            </w:pPr>
          </w:p>
          <w:p w14:paraId="4E65B938" w14:textId="77777777" w:rsidR="008C02EE" w:rsidRDefault="008C02EE">
            <w:pPr>
              <w:pBdr>
                <w:bottom w:val="single" w:sz="12" w:space="1" w:color="auto"/>
              </w:pBdr>
              <w:spacing w:after="0"/>
              <w:rPr>
                <w:rFonts w:ascii="Times New Roman" w:hAnsi="Times New Roman"/>
                <w:sz w:val="24"/>
                <w:szCs w:val="24"/>
              </w:rPr>
            </w:pPr>
          </w:p>
        </w:tc>
        <w:tc>
          <w:tcPr>
            <w:tcW w:w="1262" w:type="dxa"/>
          </w:tcPr>
          <w:p w14:paraId="2F7F7D86" w14:textId="77777777" w:rsidR="008C02EE" w:rsidRDefault="008C02EE">
            <w:pPr>
              <w:pBdr>
                <w:bottom w:val="single" w:sz="12" w:space="1" w:color="auto"/>
              </w:pBdr>
              <w:spacing w:after="0"/>
              <w:rPr>
                <w:rFonts w:ascii="Times New Roman" w:hAnsi="Times New Roman"/>
                <w:sz w:val="24"/>
                <w:szCs w:val="24"/>
              </w:rPr>
            </w:pPr>
          </w:p>
          <w:p w14:paraId="48FF51E6" w14:textId="77777777" w:rsidR="008C02EE" w:rsidRDefault="008C02EE">
            <w:pPr>
              <w:pBdr>
                <w:bottom w:val="single" w:sz="12" w:space="1" w:color="auto"/>
              </w:pBdr>
              <w:spacing w:after="0"/>
              <w:rPr>
                <w:rFonts w:ascii="Times New Roman" w:hAnsi="Times New Roman"/>
                <w:sz w:val="24"/>
                <w:szCs w:val="24"/>
              </w:rPr>
            </w:pPr>
          </w:p>
        </w:tc>
        <w:tc>
          <w:tcPr>
            <w:tcW w:w="1340" w:type="dxa"/>
          </w:tcPr>
          <w:p w14:paraId="05F5C4B1" w14:textId="77777777" w:rsidR="008C02EE" w:rsidRDefault="008C02EE">
            <w:pPr>
              <w:pBdr>
                <w:bottom w:val="single" w:sz="12" w:space="1" w:color="auto"/>
              </w:pBdr>
              <w:spacing w:after="0"/>
              <w:rPr>
                <w:rFonts w:ascii="Times New Roman" w:hAnsi="Times New Roman"/>
                <w:sz w:val="24"/>
                <w:szCs w:val="24"/>
              </w:rPr>
            </w:pPr>
          </w:p>
          <w:p w14:paraId="40876F80" w14:textId="77777777" w:rsidR="008C02EE" w:rsidRDefault="008C02EE">
            <w:pPr>
              <w:pBdr>
                <w:bottom w:val="single" w:sz="12" w:space="1" w:color="auto"/>
              </w:pBdr>
              <w:spacing w:after="0"/>
              <w:rPr>
                <w:rFonts w:ascii="Times New Roman" w:hAnsi="Times New Roman"/>
                <w:sz w:val="24"/>
                <w:szCs w:val="24"/>
              </w:rPr>
            </w:pPr>
          </w:p>
        </w:tc>
      </w:tr>
      <w:tr w:rsidR="008C02EE" w14:paraId="36BC3407" w14:textId="77777777">
        <w:tc>
          <w:tcPr>
            <w:tcW w:w="4571" w:type="dxa"/>
          </w:tcPr>
          <w:p w14:paraId="2F022C9B" w14:textId="77777777" w:rsidR="008C02EE" w:rsidRDefault="008C02EE">
            <w:pPr>
              <w:pBdr>
                <w:bottom w:val="single" w:sz="12" w:space="1" w:color="auto"/>
              </w:pBdr>
              <w:spacing w:after="0"/>
              <w:rPr>
                <w:rFonts w:ascii="Times New Roman" w:hAnsi="Times New Roman"/>
                <w:sz w:val="24"/>
                <w:szCs w:val="24"/>
              </w:rPr>
            </w:pPr>
          </w:p>
          <w:p w14:paraId="01760D28" w14:textId="77777777" w:rsidR="008C02EE" w:rsidRDefault="008C02EE">
            <w:pPr>
              <w:pBdr>
                <w:bottom w:val="single" w:sz="12" w:space="1" w:color="auto"/>
              </w:pBdr>
              <w:spacing w:after="0"/>
              <w:rPr>
                <w:rFonts w:ascii="Times New Roman" w:hAnsi="Times New Roman"/>
                <w:sz w:val="24"/>
                <w:szCs w:val="24"/>
              </w:rPr>
            </w:pPr>
          </w:p>
          <w:p w14:paraId="28E358A7" w14:textId="77777777" w:rsidR="008C02EE" w:rsidRDefault="00661384">
            <w:pPr>
              <w:spacing w:after="0"/>
              <w:rPr>
                <w:rFonts w:ascii="Times New Roman" w:hAnsi="Times New Roman"/>
                <w:sz w:val="24"/>
                <w:szCs w:val="24"/>
              </w:rPr>
            </w:pPr>
            <w:r>
              <w:rPr>
                <w:rFonts w:ascii="Times New Roman" w:hAnsi="Times New Roman"/>
                <w:sz w:val="24"/>
                <w:szCs w:val="24"/>
              </w:rPr>
              <w:t>ROBERT SHEAIRS, COMMISSIONER</w:t>
            </w:r>
          </w:p>
        </w:tc>
        <w:tc>
          <w:tcPr>
            <w:tcW w:w="1063" w:type="dxa"/>
            <w:vMerge/>
            <w:shd w:val="clear" w:color="auto" w:fill="auto"/>
          </w:tcPr>
          <w:p w14:paraId="34CCBD16" w14:textId="77777777" w:rsidR="008C02EE" w:rsidRDefault="008C02EE">
            <w:pPr>
              <w:pBdr>
                <w:bottom w:val="single" w:sz="12" w:space="1" w:color="auto"/>
              </w:pBdr>
              <w:spacing w:after="0"/>
              <w:rPr>
                <w:rFonts w:ascii="Times New Roman" w:hAnsi="Times New Roman"/>
                <w:sz w:val="24"/>
                <w:szCs w:val="24"/>
              </w:rPr>
            </w:pPr>
          </w:p>
        </w:tc>
        <w:tc>
          <w:tcPr>
            <w:tcW w:w="1114" w:type="dxa"/>
          </w:tcPr>
          <w:p w14:paraId="2D7EBFBC" w14:textId="77777777" w:rsidR="008C02EE" w:rsidRDefault="008C02EE">
            <w:pPr>
              <w:pBdr>
                <w:bottom w:val="single" w:sz="12" w:space="1" w:color="auto"/>
              </w:pBdr>
              <w:spacing w:after="0"/>
              <w:rPr>
                <w:rFonts w:ascii="Times New Roman" w:hAnsi="Times New Roman"/>
                <w:sz w:val="24"/>
                <w:szCs w:val="24"/>
              </w:rPr>
            </w:pPr>
          </w:p>
          <w:p w14:paraId="728E5D1B" w14:textId="77777777" w:rsidR="008C02EE" w:rsidRDefault="008C02EE">
            <w:pPr>
              <w:pBdr>
                <w:bottom w:val="single" w:sz="12" w:space="1" w:color="auto"/>
              </w:pBdr>
              <w:spacing w:after="0"/>
              <w:rPr>
                <w:rFonts w:ascii="Times New Roman" w:hAnsi="Times New Roman"/>
                <w:sz w:val="24"/>
                <w:szCs w:val="24"/>
              </w:rPr>
            </w:pPr>
          </w:p>
        </w:tc>
        <w:tc>
          <w:tcPr>
            <w:tcW w:w="1262" w:type="dxa"/>
          </w:tcPr>
          <w:p w14:paraId="5A96DA24" w14:textId="77777777" w:rsidR="008C02EE" w:rsidRDefault="008C02EE">
            <w:pPr>
              <w:pBdr>
                <w:bottom w:val="single" w:sz="12" w:space="1" w:color="auto"/>
              </w:pBdr>
              <w:spacing w:after="0"/>
              <w:rPr>
                <w:rFonts w:ascii="Times New Roman" w:hAnsi="Times New Roman"/>
                <w:sz w:val="24"/>
                <w:szCs w:val="24"/>
              </w:rPr>
            </w:pPr>
          </w:p>
          <w:p w14:paraId="683B8CF0" w14:textId="77777777" w:rsidR="008C02EE" w:rsidRDefault="008C02EE">
            <w:pPr>
              <w:pBdr>
                <w:bottom w:val="single" w:sz="12" w:space="1" w:color="auto"/>
              </w:pBdr>
              <w:spacing w:after="0"/>
              <w:rPr>
                <w:rFonts w:ascii="Times New Roman" w:hAnsi="Times New Roman"/>
                <w:sz w:val="24"/>
                <w:szCs w:val="24"/>
              </w:rPr>
            </w:pPr>
          </w:p>
        </w:tc>
        <w:tc>
          <w:tcPr>
            <w:tcW w:w="1340" w:type="dxa"/>
          </w:tcPr>
          <w:p w14:paraId="4F9AC8AD" w14:textId="77777777" w:rsidR="008C02EE" w:rsidRDefault="008C02EE">
            <w:pPr>
              <w:pBdr>
                <w:bottom w:val="single" w:sz="12" w:space="1" w:color="auto"/>
              </w:pBdr>
              <w:spacing w:after="0"/>
              <w:rPr>
                <w:rFonts w:ascii="Times New Roman" w:hAnsi="Times New Roman"/>
                <w:sz w:val="24"/>
                <w:szCs w:val="24"/>
              </w:rPr>
            </w:pPr>
          </w:p>
          <w:p w14:paraId="0011677F" w14:textId="77777777" w:rsidR="008C02EE" w:rsidRDefault="008C02EE">
            <w:pPr>
              <w:pBdr>
                <w:bottom w:val="single" w:sz="12" w:space="1" w:color="auto"/>
              </w:pBdr>
              <w:spacing w:after="0"/>
              <w:rPr>
                <w:rFonts w:ascii="Times New Roman" w:hAnsi="Times New Roman"/>
                <w:sz w:val="24"/>
                <w:szCs w:val="24"/>
              </w:rPr>
            </w:pPr>
          </w:p>
        </w:tc>
      </w:tr>
    </w:tbl>
    <w:bookmarkStart w:id="1" w:name="_iDocIDField_EOD"/>
    <w:p w14:paraId="6D24AF8E" w14:textId="77777777" w:rsidR="008C02EE" w:rsidRDefault="00661384">
      <w:pPr>
        <w:pStyle w:val="DocID"/>
      </w:pPr>
      <w:r>
        <w:fldChar w:fldCharType="begin"/>
      </w:r>
      <w:r>
        <w:instrText xml:space="preserve">  DOCPROPERTY "CUS_DocIDChunk0" </w:instrText>
      </w:r>
      <w:r>
        <w:fldChar w:fldCharType="separate"/>
      </w:r>
      <w:r>
        <w:t>218300213v1</w:t>
      </w:r>
      <w:r>
        <w:fldChar w:fldCharType="end"/>
      </w:r>
      <w:bookmarkEnd w:id="1"/>
    </w:p>
    <w:sectPr w:rsidR="008C0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CAB3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43A12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E60CF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E4450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07248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5E93E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358EE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DAD6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F231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848BC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2EE"/>
    <w:rsid w:val="00661384"/>
    <w:rsid w:val="008C0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2E193"/>
  <w15:chartTrackingRefBased/>
  <w15:docId w15:val="{E55552AF-9F4A-40BC-8F32-AF56050E9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 &amp; G Body Text"/>
    <w:qFormat/>
    <w:pPr>
      <w:spacing w:after="200" w:line="276" w:lineRule="auto"/>
    </w:pPr>
    <w:rPr>
      <w:rFonts w:ascii="Calibri" w:eastAsia="Calibri" w:hAnsi="Calibri"/>
      <w:sz w:val="22"/>
      <w:szCs w:val="22"/>
    </w:rPr>
  </w:style>
  <w:style w:type="paragraph" w:styleId="Heading1">
    <w:name w:val="heading 1"/>
    <w:basedOn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semiHidden/>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9"/>
    <w:semiHidden/>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link w:val="Heading8Char"/>
    <w:uiPriority w:val="9"/>
    <w:semiHidden/>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ingle">
    <w:name w:val="** 1 Single"/>
    <w:basedOn w:val="Normal"/>
    <w:qFormat/>
    <w:pPr>
      <w:spacing w:after="240"/>
      <w:ind w:firstLine="1440"/>
    </w:pPr>
  </w:style>
  <w:style w:type="paragraph" w:customStyle="1" w:styleId="BlockL5Sgl">
    <w:name w:val="** Block L.5 Sgl"/>
    <w:basedOn w:val="Normal"/>
    <w:qFormat/>
    <w:pPr>
      <w:spacing w:after="240"/>
      <w:ind w:left="720"/>
      <w:jc w:val="both"/>
    </w:pPr>
  </w:style>
  <w:style w:type="paragraph" w:customStyle="1" w:styleId="BlockL5Dbl">
    <w:name w:val="** Block L .5 Dbl"/>
    <w:basedOn w:val="BlockL5Sgl"/>
    <w:qFormat/>
    <w:pPr>
      <w:spacing w:after="0" w:line="480" w:lineRule="auto"/>
    </w:pPr>
  </w:style>
  <w:style w:type="paragraph" w:customStyle="1" w:styleId="BlockL1Dbl">
    <w:name w:val="** Block L 1 Dbl"/>
    <w:basedOn w:val="BlockL5Sgl"/>
    <w:qFormat/>
    <w:pPr>
      <w:spacing w:after="0" w:line="480" w:lineRule="auto"/>
      <w:ind w:left="1440"/>
    </w:pPr>
  </w:style>
  <w:style w:type="paragraph" w:customStyle="1" w:styleId="BlockL5">
    <w:name w:val="** Block L.5"/>
    <w:basedOn w:val="Normal"/>
    <w:qFormat/>
    <w:pPr>
      <w:spacing w:after="240"/>
      <w:ind w:left="720"/>
      <w:jc w:val="both"/>
    </w:pPr>
  </w:style>
  <w:style w:type="paragraph" w:customStyle="1" w:styleId="BlockLR5">
    <w:name w:val="** Block L/R .5"/>
    <w:basedOn w:val="Normal"/>
    <w:qFormat/>
    <w:pPr>
      <w:spacing w:after="240"/>
      <w:ind w:left="720" w:right="720"/>
    </w:pPr>
  </w:style>
  <w:style w:type="paragraph" w:customStyle="1" w:styleId="BlockLR1">
    <w:name w:val="** Block L/R 1"/>
    <w:basedOn w:val="Normal"/>
    <w:qFormat/>
    <w:pPr>
      <w:spacing w:after="240"/>
      <w:ind w:left="1440" w:right="1440"/>
    </w:pPr>
  </w:style>
  <w:style w:type="paragraph" w:customStyle="1" w:styleId="BlockL1">
    <w:name w:val="** Block L1"/>
    <w:basedOn w:val="Normal"/>
    <w:qFormat/>
    <w:pPr>
      <w:spacing w:after="240"/>
      <w:ind w:left="1440"/>
      <w:jc w:val="both"/>
    </w:pPr>
  </w:style>
  <w:style w:type="paragraph" w:customStyle="1" w:styleId="BlockL1Single">
    <w:name w:val="** Block L1 Single"/>
    <w:basedOn w:val="Normal"/>
    <w:qFormat/>
    <w:pPr>
      <w:spacing w:after="240"/>
      <w:ind w:left="1440"/>
      <w:jc w:val="both"/>
    </w:pPr>
  </w:style>
  <w:style w:type="paragraph" w:customStyle="1" w:styleId="CBTitle">
    <w:name w:val="** CB Title"/>
    <w:basedOn w:val="Normal"/>
    <w:next w:val="Normal"/>
    <w:qFormat/>
    <w:pPr>
      <w:keepNext/>
      <w:spacing w:after="240"/>
      <w:jc w:val="center"/>
    </w:pPr>
    <w:rPr>
      <w:b/>
    </w:rPr>
  </w:style>
  <w:style w:type="paragraph" w:customStyle="1" w:styleId="CBUTitle">
    <w:name w:val="** CBU Title"/>
    <w:basedOn w:val="Normal"/>
    <w:next w:val="Normal"/>
    <w:qFormat/>
    <w:pPr>
      <w:keepNext/>
      <w:spacing w:after="240"/>
      <w:jc w:val="center"/>
    </w:pPr>
    <w:rPr>
      <w:b/>
      <w:u w:val="single"/>
    </w:rPr>
  </w:style>
  <w:style w:type="paragraph" w:customStyle="1" w:styleId="Full5Double">
    <w:name w:val="** Full .5 Double"/>
    <w:basedOn w:val="BlockL5Dbl"/>
    <w:qFormat/>
    <w:pPr>
      <w:ind w:left="0" w:firstLine="720"/>
    </w:pPr>
  </w:style>
  <w:style w:type="paragraph" w:customStyle="1" w:styleId="Full5Single">
    <w:name w:val="** Full .5 Single"/>
    <w:basedOn w:val="BlockL5Sgl"/>
    <w:qFormat/>
    <w:pPr>
      <w:ind w:left="0" w:firstLine="720"/>
    </w:pPr>
  </w:style>
  <w:style w:type="paragraph" w:customStyle="1" w:styleId="LAlignDouble">
    <w:name w:val="** L Align Double"/>
    <w:basedOn w:val="Normal"/>
    <w:qFormat/>
    <w:pPr>
      <w:spacing w:line="480" w:lineRule="auto"/>
    </w:pPr>
  </w:style>
  <w:style w:type="paragraph" w:customStyle="1" w:styleId="LAlignSingle">
    <w:name w:val="** L Align Single"/>
    <w:basedOn w:val="Normal"/>
    <w:qFormat/>
    <w:pPr>
      <w:spacing w:after="240"/>
    </w:pPr>
  </w:style>
  <w:style w:type="paragraph" w:customStyle="1" w:styleId="LBTitle">
    <w:name w:val="** LB Title"/>
    <w:basedOn w:val="Normal"/>
    <w:next w:val="Normal"/>
    <w:qFormat/>
    <w:rPr>
      <w:b/>
    </w:rPr>
  </w:style>
  <w:style w:type="paragraph" w:customStyle="1" w:styleId="LBUTitle">
    <w:name w:val="** LBU Title"/>
    <w:basedOn w:val="Normal"/>
    <w:next w:val="Normal"/>
    <w:qFormat/>
    <w:rPr>
      <w:b/>
      <w:u w:val="single"/>
    </w:rPr>
  </w:style>
  <w:style w:type="paragraph" w:customStyle="1" w:styleId="5Single">
    <w:name w:val="** .5 Single"/>
    <w:basedOn w:val="Normal"/>
    <w:link w:val="5SingleChar"/>
    <w:qFormat/>
    <w:pPr>
      <w:spacing w:after="240"/>
      <w:ind w:firstLine="720"/>
    </w:pPr>
    <w:rPr>
      <w:szCs w:val="20"/>
    </w:rPr>
  </w:style>
  <w:style w:type="character" w:customStyle="1" w:styleId="5SingleChar">
    <w:name w:val="** .5 Single Char"/>
    <w:basedOn w:val="DefaultParagraphFont"/>
    <w:link w:val="5Single"/>
    <w:rPr>
      <w:sz w:val="24"/>
    </w:rPr>
  </w:style>
  <w:style w:type="paragraph" w:customStyle="1" w:styleId="1Double">
    <w:name w:val="** 1 Double"/>
    <w:basedOn w:val="Normal"/>
    <w:qFormat/>
    <w:pPr>
      <w:spacing w:line="480" w:lineRule="auto"/>
      <w:ind w:firstLine="1440"/>
    </w:pPr>
  </w:style>
  <w:style w:type="paragraph" w:customStyle="1" w:styleId="BlockLR1Dbl">
    <w:name w:val="**  Block L/R 1 Dbl"/>
    <w:basedOn w:val="Normal"/>
    <w:qFormat/>
    <w:pPr>
      <w:spacing w:line="480" w:lineRule="auto"/>
      <w:ind w:left="1440" w:right="1440"/>
    </w:pPr>
  </w:style>
  <w:style w:type="paragraph" w:customStyle="1" w:styleId="BlockLR1Sgl">
    <w:name w:val="**  Block L/R 1 Sgl"/>
    <w:basedOn w:val="Normal"/>
    <w:qFormat/>
    <w:pPr>
      <w:spacing w:after="240"/>
      <w:ind w:left="1440" w:right="1440"/>
    </w:pPr>
  </w:style>
  <w:style w:type="paragraph" w:customStyle="1" w:styleId="Full1Double">
    <w:name w:val="**Full 1 Double"/>
    <w:basedOn w:val="BlockL1"/>
    <w:qFormat/>
    <w:pPr>
      <w:spacing w:after="0" w:line="480" w:lineRule="auto"/>
      <w:ind w:left="0" w:firstLine="1440"/>
    </w:pPr>
  </w:style>
  <w:style w:type="paragraph" w:customStyle="1" w:styleId="Full1Single">
    <w:name w:val="**Full 1 Single"/>
    <w:basedOn w:val="BlockL1"/>
    <w:qFormat/>
    <w:pPr>
      <w:ind w:left="0" w:firstLine="1440"/>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styleId="Title">
    <w:name w:val="Title"/>
    <w:basedOn w:val="Quote"/>
    <w:next w:val="Normal"/>
    <w:link w:val="TitleChar"/>
    <w:uiPriority w:val="10"/>
    <w:qFormat/>
    <w:pPr>
      <w:spacing w:after="0"/>
      <w:ind w:left="0" w:right="0"/>
      <w:contextualSpacing/>
    </w:pPr>
    <w:rPr>
      <w:rFonts w:asciiTheme="majorHAnsi" w:eastAsiaTheme="majorEastAsia" w:hAnsiTheme="majorHAnsi" w:cstheme="majorBidi"/>
      <w:i/>
      <w:iCs/>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Quote">
    <w:name w:val="Quote"/>
    <w:basedOn w:val="Normal"/>
    <w:next w:val="Normal"/>
    <w:link w:val="QuoteChar"/>
    <w:qFormat/>
    <w:pPr>
      <w:spacing w:after="240"/>
      <w:ind w:left="1440" w:right="1440"/>
    </w:pPr>
  </w:style>
  <w:style w:type="character" w:customStyle="1" w:styleId="QuoteChar">
    <w:name w:val="Quote Char"/>
    <w:basedOn w:val="DefaultParagraphFont"/>
    <w:link w:val="Quote"/>
    <w:rPr>
      <w:sz w:val="24"/>
      <w:szCs w:val="24"/>
    </w:rPr>
  </w:style>
  <w:style w:type="paragraph" w:styleId="ListParagraph">
    <w:name w:val="List Paragraph"/>
    <w:basedOn w:val="Normal"/>
    <w:uiPriority w:val="34"/>
    <w:qFormat/>
    <w:pPr>
      <w:ind w:left="720"/>
      <w:contextualSpacing/>
    </w:pPr>
  </w:style>
  <w:style w:type="paragraph" w:customStyle="1" w:styleId="DocID">
    <w:name w:val="DocID"/>
    <w:basedOn w:val="Normal"/>
    <w:qFormat/>
    <w:rPr>
      <w:sz w:val="16"/>
    </w:rPr>
  </w:style>
  <w:style w:type="paragraph" w:customStyle="1" w:styleId="5Double">
    <w:name w:val="** .5 Double"/>
    <w:basedOn w:val="Normal"/>
    <w:qFormat/>
    <w:pPr>
      <w:spacing w:line="480" w:lineRule="auto"/>
      <w:ind w:firstLine="720"/>
    </w:pPr>
  </w:style>
  <w:style w:type="paragraph" w:styleId="Closing">
    <w:name w:val="Closing"/>
    <w:basedOn w:val="Normal"/>
    <w:link w:val="ClosingChar"/>
    <w:uiPriority w:val="99"/>
    <w:unhideWhenUsed/>
    <w:qFormat/>
    <w:pPr>
      <w:keepNext/>
      <w:ind w:left="5040"/>
    </w:pPr>
    <w:rPr>
      <w:rFonts w:eastAsiaTheme="minorHAnsi" w:cstheme="minorBidi"/>
    </w:rPr>
  </w:style>
  <w:style w:type="character" w:customStyle="1" w:styleId="ClosingChar">
    <w:name w:val="Closing Char"/>
    <w:basedOn w:val="DefaultParagraphFont"/>
    <w:link w:val="Closing"/>
    <w:uiPriority w:val="99"/>
    <w:rPr>
      <w:rFonts w:eastAsiaTheme="minorHAnsi" w:cstheme="minorBidi"/>
      <w:sz w:val="24"/>
      <w:szCs w:val="24"/>
    </w:rPr>
  </w:style>
  <w:style w:type="paragraph" w:customStyle="1" w:styleId="Closing0">
    <w:name w:val="** Closing"/>
    <w:basedOn w:val="Closing"/>
    <w:qFormat/>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szCs w:val="24"/>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rPr>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rattarelli\AppData\Roaming\Microsoft\Templates\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D1C7A-CEC0-4398-8C59-6EBA64683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Portrait</Template>
  <TotalTime>3</TotalTime>
  <Pages>2</Pages>
  <Words>493</Words>
  <Characters>2816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O'Brien, Meghan</dc:creator>
  <cp:lastModifiedBy>Donna Scally</cp:lastModifiedBy>
  <cp:revision>2</cp:revision>
  <dcterms:created xsi:type="dcterms:W3CDTF">2020-04-06T18:52:00Z</dcterms:created>
  <dcterms:modified xsi:type="dcterms:W3CDTF">2020-04-06T18:52:00Z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Chunk0">
    <vt:lpwstr>218300213v1</vt:lpwstr>
  </property>
  <property fmtid="{D5CDD505-2E9C-101B-9397-08002B2CF9AE}" pid="4" name="CUS_DocIDLocation">
    <vt:lpwstr>END_OF_DOCUMENT</vt:lpwstr>
  </property>
  <property fmtid="{D5CDD505-2E9C-101B-9397-08002B2CF9AE}" pid="5" name="CUS_DocIDReference">
    <vt:lpwstr>endOfDocument</vt:lpwstr>
  </property>
  <property fmtid="{D5CDD505-2E9C-101B-9397-08002B2CF9AE}" pid="6" name="CUS_DocIDString">
    <vt:lpwstr>218300213v1</vt:lpwstr>
  </property>
</Properties>
</file>