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458CBAF2" w:rsidR="008423B4" w:rsidRPr="00FB769A" w:rsidRDefault="00344671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8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7338ED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344671">
        <w:rPr>
          <w:sz w:val="28"/>
          <w:szCs w:val="28"/>
        </w:rPr>
        <w:t>May 6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t>Chairman’s Agenda Items:</w:t>
      </w:r>
    </w:p>
    <w:p w14:paraId="63C63198" w14:textId="6DA50148" w:rsidR="00912AD9" w:rsidRDefault="00912AD9" w:rsidP="00912AD9">
      <w:pPr>
        <w:pStyle w:val="Heading2"/>
      </w:pPr>
      <w:r>
        <w:t>Premier Occupational Health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E7B3A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87408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909DD"/>
    <w:rsid w:val="007A1A6E"/>
    <w:rsid w:val="007B4BCA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774D4"/>
    <w:rsid w:val="00C841BE"/>
    <w:rsid w:val="00C84B47"/>
    <w:rsid w:val="00CA7CFB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4</cp:revision>
  <cp:lastPrinted>2024-05-06T18:55:00Z</cp:lastPrinted>
  <dcterms:created xsi:type="dcterms:W3CDTF">2024-05-06T18:53:00Z</dcterms:created>
  <dcterms:modified xsi:type="dcterms:W3CDTF">2024-05-07T12:48:00Z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