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7C92CC84" w:rsidR="008423B4" w:rsidRPr="00FB769A" w:rsidRDefault="00C2783F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587408">
        <w:rPr>
          <w:sz w:val="28"/>
          <w:szCs w:val="28"/>
        </w:rPr>
        <w:t>24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0A66AE6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C2783F">
        <w:rPr>
          <w:sz w:val="28"/>
          <w:szCs w:val="28"/>
        </w:rPr>
        <w:t>April 8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010AB73F" w14:textId="311FED96" w:rsidR="00C2783F" w:rsidRDefault="00C2783F" w:rsidP="00C2783F">
      <w:pPr>
        <w:pStyle w:val="Heading2"/>
      </w:pPr>
      <w:r>
        <w:t>Financial Disclosures</w:t>
      </w:r>
      <w:r w:rsidR="00587408">
        <w:t xml:space="preserve"> – fined if not received by 4/30, 1 outstanding.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774D4"/>
    <w:rsid w:val="00C841BE"/>
    <w:rsid w:val="00C84B47"/>
    <w:rsid w:val="00CA7CFB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2024-03-25T17:05:00Z</cp:lastPrinted>
  <dcterms:created xsi:type="dcterms:W3CDTF">2024-04-23T18:15:00Z</dcterms:created>
  <dcterms:modified xsi:type="dcterms:W3CDTF">2024-04-23T18:17:00Z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